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7685"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Product Use &amp; Liability Disclaimer</w:t>
      </w:r>
    </w:p>
    <w:p w14:paraId="71537513"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Important Notice Regarding Proper Use</w:t>
      </w:r>
    </w:p>
    <w:p w14:paraId="29BF52EA"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All products sold by Silver Triangle Leatherworks are intended for use by consenting adults only. Purchasers and users are solely responsible for ensuring that any item is used safely, responsibly, and in accordance with applicable laws and community standards.</w:t>
      </w:r>
    </w:p>
    <w:p w14:paraId="2BDC9BF9"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Assumption of Risk</w:t>
      </w:r>
    </w:p>
    <w:p w14:paraId="49586571"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By purchasing and/or using any product from Silver Triangle Leatherworks, you acknowledge that activities involving leather apparel, restraints, or related accessories may involve inherent risks. You voluntarily assume full responsibility for any risks, injuries, or damages that may result from the use or misuse of these products.</w:t>
      </w:r>
    </w:p>
    <w:p w14:paraId="5F386C8D"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No Medical or Safety Advice</w:t>
      </w:r>
    </w:p>
    <w:p w14:paraId="12A94886"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 xml:space="preserve">Silver Triangle Leatherworks does not provide medical, psychological, or safety advice. Nothing accompanying our products—whether written, verbal, or implied—should be construed as professional guidance. Users are encouraged to </w:t>
      </w:r>
      <w:proofErr w:type="gramStart"/>
      <w:r w:rsidRPr="002C437B">
        <w:rPr>
          <w:rFonts w:asciiTheme="majorHAnsi" w:hAnsiTheme="majorHAnsi"/>
          <w:b/>
          <w:bCs/>
          <w:sz w:val="36"/>
          <w:szCs w:val="36"/>
        </w:rPr>
        <w:t>educate themselves and exercise prudent judgment at all times</w:t>
      </w:r>
      <w:proofErr w:type="gramEnd"/>
      <w:r w:rsidRPr="002C437B">
        <w:rPr>
          <w:rFonts w:asciiTheme="majorHAnsi" w:hAnsiTheme="majorHAnsi"/>
          <w:b/>
          <w:bCs/>
          <w:sz w:val="36"/>
          <w:szCs w:val="36"/>
        </w:rPr>
        <w:t>.</w:t>
      </w:r>
    </w:p>
    <w:p w14:paraId="034FF45B"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Limitation of Liability</w:t>
      </w:r>
    </w:p>
    <w:p w14:paraId="2D5DF8F6"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Silver Triangle Leatherworks, its owner, and its affiliates shall not be held liable for any direct, indirect, incidental, or consequential damages, injuries, or losses arising from the use, misuse, alteration, or inability to use our products. This limitation applies to all claims, including negligence, to the fullest extent permitted by law.</w:t>
      </w:r>
    </w:p>
    <w:p w14:paraId="0924CE2A"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Product Inspection and Care</w:t>
      </w:r>
    </w:p>
    <w:p w14:paraId="6405CEBD"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It is the responsibility of the purchaser to inspect all products before each use and to discontinue use immediately if any defect, wear, or damage is detected. Proper maintenance and care are required to ensure product longevity and safe use.</w:t>
      </w:r>
    </w:p>
    <w:p w14:paraId="4DD90C50"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Agreement</w:t>
      </w:r>
    </w:p>
    <w:p w14:paraId="1ABA493C"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Purchase and use of our products constitute acknowledgment and acceptance of this disclaimer in its entirety.</w:t>
      </w:r>
    </w:p>
    <w:p w14:paraId="7798330C" w14:textId="77777777" w:rsidR="002C437B" w:rsidRPr="002C437B" w:rsidRDefault="002C437B" w:rsidP="002C437B">
      <w:pPr>
        <w:rPr>
          <w:rFonts w:asciiTheme="majorHAnsi" w:hAnsiTheme="majorHAnsi"/>
          <w:b/>
          <w:bCs/>
          <w:sz w:val="36"/>
          <w:szCs w:val="36"/>
        </w:rPr>
      </w:pPr>
      <w:r w:rsidRPr="002C437B">
        <w:rPr>
          <w:rFonts w:asciiTheme="majorHAnsi" w:hAnsiTheme="majorHAnsi"/>
          <w:b/>
          <w:bCs/>
          <w:sz w:val="36"/>
          <w:szCs w:val="36"/>
        </w:rPr>
        <w:t>Crafted for passion, designed for endurance.</w:t>
      </w:r>
    </w:p>
    <w:p w14:paraId="31D99F0B" w14:textId="77777777" w:rsidR="00933A6C" w:rsidRPr="002C437B" w:rsidRDefault="00933A6C" w:rsidP="002C437B">
      <w:pPr>
        <w:rPr>
          <w:rFonts w:asciiTheme="majorHAnsi" w:hAnsiTheme="majorHAnsi"/>
          <w:sz w:val="36"/>
          <w:szCs w:val="36"/>
        </w:rPr>
      </w:pPr>
    </w:p>
    <w:sectPr w:rsidR="00933A6C" w:rsidRPr="002C43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C"/>
    <w:rsid w:val="00115DA0"/>
    <w:rsid w:val="002C437B"/>
    <w:rsid w:val="00420C64"/>
    <w:rsid w:val="004800A4"/>
    <w:rsid w:val="00933A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CB96"/>
  <w15:chartTrackingRefBased/>
  <w15:docId w15:val="{3D0E83C2-F11B-4114-9C57-97901B4B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A6C"/>
    <w:rPr>
      <w:rFonts w:eastAsiaTheme="majorEastAsia" w:cstheme="majorBidi"/>
      <w:color w:val="272727" w:themeColor="text1" w:themeTint="D8"/>
    </w:rPr>
  </w:style>
  <w:style w:type="paragraph" w:styleId="Title">
    <w:name w:val="Title"/>
    <w:basedOn w:val="Normal"/>
    <w:next w:val="Normal"/>
    <w:link w:val="TitleChar"/>
    <w:uiPriority w:val="10"/>
    <w:qFormat/>
    <w:rsid w:val="0093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A6C"/>
    <w:pPr>
      <w:spacing w:before="160"/>
      <w:jc w:val="center"/>
    </w:pPr>
    <w:rPr>
      <w:i/>
      <w:iCs/>
      <w:color w:val="404040" w:themeColor="text1" w:themeTint="BF"/>
    </w:rPr>
  </w:style>
  <w:style w:type="character" w:customStyle="1" w:styleId="QuoteChar">
    <w:name w:val="Quote Char"/>
    <w:basedOn w:val="DefaultParagraphFont"/>
    <w:link w:val="Quote"/>
    <w:uiPriority w:val="29"/>
    <w:rsid w:val="00933A6C"/>
    <w:rPr>
      <w:i/>
      <w:iCs/>
      <w:color w:val="404040" w:themeColor="text1" w:themeTint="BF"/>
    </w:rPr>
  </w:style>
  <w:style w:type="paragraph" w:styleId="ListParagraph">
    <w:name w:val="List Paragraph"/>
    <w:basedOn w:val="Normal"/>
    <w:uiPriority w:val="34"/>
    <w:qFormat/>
    <w:rsid w:val="00933A6C"/>
    <w:pPr>
      <w:ind w:left="720"/>
      <w:contextualSpacing/>
    </w:pPr>
  </w:style>
  <w:style w:type="character" w:styleId="IntenseEmphasis">
    <w:name w:val="Intense Emphasis"/>
    <w:basedOn w:val="DefaultParagraphFont"/>
    <w:uiPriority w:val="21"/>
    <w:qFormat/>
    <w:rsid w:val="00933A6C"/>
    <w:rPr>
      <w:i/>
      <w:iCs/>
      <w:color w:val="0F4761" w:themeColor="accent1" w:themeShade="BF"/>
    </w:rPr>
  </w:style>
  <w:style w:type="paragraph" w:styleId="IntenseQuote">
    <w:name w:val="Intense Quote"/>
    <w:basedOn w:val="Normal"/>
    <w:next w:val="Normal"/>
    <w:link w:val="IntenseQuoteChar"/>
    <w:uiPriority w:val="30"/>
    <w:qFormat/>
    <w:rsid w:val="0093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A6C"/>
    <w:rPr>
      <w:i/>
      <w:iCs/>
      <w:color w:val="0F4761" w:themeColor="accent1" w:themeShade="BF"/>
    </w:rPr>
  </w:style>
  <w:style w:type="character" w:styleId="IntenseReference">
    <w:name w:val="Intense Reference"/>
    <w:basedOn w:val="DefaultParagraphFont"/>
    <w:uiPriority w:val="32"/>
    <w:qFormat/>
    <w:rsid w:val="00933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1551</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dcterms:created xsi:type="dcterms:W3CDTF">2026-01-22T16:44:00Z</dcterms:created>
  <dcterms:modified xsi:type="dcterms:W3CDTF">2026-01-22T16:44:00Z</dcterms:modified>
</cp:coreProperties>
</file>